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1276"/>
        <w:gridCol w:w="8112"/>
      </w:tblGrid>
      <w:tr w:rsidR="00F27508" w:rsidRPr="00F16416" w:rsidTr="00F43B38">
        <w:tc>
          <w:tcPr>
            <w:tcW w:w="1276" w:type="dxa"/>
            <w:shd w:val="clear" w:color="auto" w:fill="auto"/>
          </w:tcPr>
          <w:p w:rsidR="00F27508" w:rsidRDefault="00F27508" w:rsidP="00F43B38">
            <w:pPr>
              <w:jc w:val="both"/>
            </w:pPr>
            <w:r>
              <w:rPr>
                <w:noProof/>
                <w:lang w:eastAsia="it-IT"/>
              </w:rPr>
              <w:drawing>
                <wp:inline distT="0" distB="0" distL="0" distR="0">
                  <wp:extent cx="666750" cy="704850"/>
                  <wp:effectExtent l="0" t="0" r="0" b="0"/>
                  <wp:docPr id="1" name="Immagine 1" descr="Logo UNIONE della SERRA let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 UNIONE della SERRA let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52" w:type="dxa"/>
            <w:shd w:val="clear" w:color="auto" w:fill="auto"/>
          </w:tcPr>
          <w:p w:rsidR="00F27508" w:rsidRPr="00F16416" w:rsidRDefault="00F27508" w:rsidP="00F43B38">
            <w:pPr>
              <w:jc w:val="center"/>
              <w:rPr>
                <w:b/>
                <w:sz w:val="32"/>
                <w:szCs w:val="32"/>
              </w:rPr>
            </w:pPr>
            <w:r w:rsidRPr="00F16416">
              <w:rPr>
                <w:b/>
                <w:sz w:val="32"/>
                <w:szCs w:val="32"/>
              </w:rPr>
              <w:t>“COMUNITA’ COLLINARE DELLA SERRA”</w:t>
            </w:r>
          </w:p>
          <w:p w:rsidR="00F27508" w:rsidRPr="00F16416" w:rsidRDefault="00F27508" w:rsidP="00F43B38">
            <w:pPr>
              <w:jc w:val="center"/>
              <w:rPr>
                <w:sz w:val="30"/>
                <w:szCs w:val="30"/>
              </w:rPr>
            </w:pPr>
            <w:r w:rsidRPr="00F16416">
              <w:rPr>
                <w:b/>
                <w:sz w:val="30"/>
                <w:szCs w:val="30"/>
              </w:rPr>
              <w:t>UNIONE DEI COMUNI</w:t>
            </w:r>
          </w:p>
          <w:p w:rsidR="00F27508" w:rsidRPr="00F16416" w:rsidRDefault="00F27508" w:rsidP="00F43B38">
            <w:pPr>
              <w:jc w:val="center"/>
              <w:rPr>
                <w:b/>
                <w:sz w:val="28"/>
                <w:szCs w:val="28"/>
              </w:rPr>
            </w:pPr>
            <w:r w:rsidRPr="00F16416">
              <w:rPr>
                <w:b/>
                <w:sz w:val="28"/>
                <w:szCs w:val="28"/>
              </w:rPr>
              <w:t>ALBIANO D’IVREA, BOLLENGO, BUROLO, CHIAVERANO</w:t>
            </w:r>
          </w:p>
          <w:p w:rsidR="00F27508" w:rsidRDefault="00F27508" w:rsidP="00F43B38">
            <w:pPr>
              <w:pStyle w:val="Intestazione"/>
              <w:jc w:val="center"/>
            </w:pPr>
            <w:r>
              <w:t>Piazza Statuto n. 1</w:t>
            </w:r>
          </w:p>
          <w:p w:rsidR="00F27508" w:rsidRDefault="00F27508" w:rsidP="00F43B38">
            <w:pPr>
              <w:jc w:val="center"/>
            </w:pPr>
            <w:r>
              <w:t xml:space="preserve">10012 </w:t>
            </w:r>
            <w:proofErr w:type="gramStart"/>
            <w:r>
              <w:t>BOLLENGO  (</w:t>
            </w:r>
            <w:proofErr w:type="gramEnd"/>
            <w:r>
              <w:t>TO)</w:t>
            </w:r>
          </w:p>
        </w:tc>
      </w:tr>
    </w:tbl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F27508">
        <w:rPr>
          <w:rFonts w:ascii="Times New Roman" w:hAnsi="Times New Roman" w:cs="Times New Roman"/>
          <w:b/>
          <w:bCs/>
          <w:sz w:val="44"/>
          <w:szCs w:val="44"/>
        </w:rPr>
        <w:t xml:space="preserve">REGOLAMENTO </w:t>
      </w:r>
      <w:r w:rsidRPr="00F27508">
        <w:rPr>
          <w:rFonts w:ascii="Times New Roman" w:hAnsi="Times New Roman" w:cs="Times New Roman"/>
          <w:b/>
          <w:bCs/>
          <w:sz w:val="44"/>
          <w:szCs w:val="44"/>
        </w:rPr>
        <w:t xml:space="preserve">PER LA </w:t>
      </w:r>
      <w:r w:rsidRPr="00F27508">
        <w:rPr>
          <w:rFonts w:ascii="Times New Roman" w:hAnsi="Times New Roman" w:cs="Times New Roman"/>
          <w:b/>
          <w:bCs/>
          <w:sz w:val="44"/>
          <w:szCs w:val="44"/>
        </w:rPr>
        <w:t xml:space="preserve">GESTIONE </w:t>
      </w:r>
      <w:r w:rsidRPr="00F27508">
        <w:rPr>
          <w:rFonts w:ascii="Times New Roman" w:hAnsi="Times New Roman" w:cs="Times New Roman"/>
          <w:b/>
          <w:bCs/>
          <w:sz w:val="44"/>
          <w:szCs w:val="44"/>
        </w:rPr>
        <w:t>D</w:t>
      </w:r>
      <w:r w:rsidRPr="00F27508">
        <w:rPr>
          <w:rFonts w:ascii="Times New Roman" w:hAnsi="Times New Roman" w:cs="Times New Roman"/>
          <w:b/>
          <w:bCs/>
          <w:sz w:val="44"/>
          <w:szCs w:val="44"/>
        </w:rPr>
        <w:t>ELLA</w:t>
      </w:r>
      <w:r w:rsidRPr="00F27508">
        <w:rPr>
          <w:rFonts w:ascii="Times New Roman" w:hAnsi="Times New Roman" w:cs="Times New Roman"/>
          <w:b/>
          <w:bCs/>
          <w:sz w:val="44"/>
          <w:szCs w:val="44"/>
        </w:rPr>
        <w:t xml:space="preserve"> CENTRALE UNICA DI COMMITTENZA</w:t>
      </w:r>
      <w:r>
        <w:rPr>
          <w:rFonts w:ascii="Times New Roman" w:hAnsi="Times New Roman" w:cs="Times New Roman"/>
          <w:b/>
          <w:bCs/>
          <w:sz w:val="44"/>
          <w:szCs w:val="44"/>
        </w:rPr>
        <w:t xml:space="preserve"> </w:t>
      </w:r>
      <w:r w:rsidRPr="00F27508">
        <w:rPr>
          <w:rFonts w:ascii="Times New Roman" w:hAnsi="Times New Roman" w:cs="Times New Roman"/>
          <w:b/>
          <w:bCs/>
          <w:sz w:val="44"/>
          <w:szCs w:val="44"/>
        </w:rPr>
        <w:t>PER L’ACQUISIZIONE DI LAVORI, SERVIZI E FORNITURE AI SENSI DELL’ARTICOLO</w:t>
      </w:r>
      <w:r w:rsidRPr="00F27508">
        <w:rPr>
          <w:rFonts w:ascii="Times New Roman" w:hAnsi="Times New Roman" w:cs="Times New Roman"/>
          <w:b/>
          <w:bCs/>
          <w:sz w:val="44"/>
          <w:szCs w:val="44"/>
        </w:rPr>
        <w:t xml:space="preserve"> </w:t>
      </w:r>
      <w:r w:rsidRPr="00F27508">
        <w:rPr>
          <w:rFonts w:ascii="Times New Roman" w:hAnsi="Times New Roman" w:cs="Times New Roman"/>
          <w:b/>
          <w:bCs/>
          <w:sz w:val="44"/>
          <w:szCs w:val="44"/>
        </w:rPr>
        <w:t>33, COMMA 3 BIS DEL D.LGS 163/2006 E SMI.</w:t>
      </w:r>
      <w:r w:rsidRPr="00F27508">
        <w:rPr>
          <w:rFonts w:ascii="Times New Roman" w:hAnsi="Times New Roman" w:cs="Times New Roman"/>
          <w:sz w:val="44"/>
          <w:szCs w:val="44"/>
        </w:rPr>
        <w:t xml:space="preserve"> 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7508">
        <w:rPr>
          <w:rFonts w:ascii="Times New Roman" w:hAnsi="Times New Roman" w:cs="Times New Roman"/>
          <w:sz w:val="24"/>
          <w:szCs w:val="24"/>
        </w:rPr>
        <w:t>Allegato alla delibera della Giunta Collinare n. 2 del 01.04.2015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27508" w:rsidRDefault="00F27508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924AE5" w:rsidRPr="00F27508" w:rsidRDefault="00924AE5" w:rsidP="00924A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ART. 1</w:t>
      </w:r>
    </w:p>
    <w:p w:rsidR="00924AE5" w:rsidRPr="00F27508" w:rsidRDefault="00924AE5" w:rsidP="00924A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OGGETTO</w:t>
      </w:r>
    </w:p>
    <w:p w:rsid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27508" w:rsidRPr="00F27508" w:rsidRDefault="009E01AC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01A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Il presente regolamento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disciplina la gestione, in forma associata tra i Comuni aderenti all’Unione Collinare della Serra, in attuazione di quanto previsto dal</w:t>
      </w:r>
      <w:r w:rsidR="00F27508"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l’art. 33, comma 3-bis del </w:t>
      </w:r>
      <w:proofErr w:type="spellStart"/>
      <w:r w:rsidR="00F27508" w:rsidRPr="00F27508">
        <w:rPr>
          <w:rFonts w:ascii="Times New Roman" w:hAnsi="Times New Roman" w:cs="Times New Roman"/>
          <w:color w:val="000000"/>
          <w:sz w:val="24"/>
          <w:szCs w:val="24"/>
        </w:rPr>
        <w:t>D.Lgs.</w:t>
      </w:r>
      <w:proofErr w:type="spellEnd"/>
      <w:r w:rsidR="00F27508"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 12 aprile 2006 n. 163</w:t>
      </w:r>
      <w:r w:rsidR="00924A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24AE5"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come riformulato dall’art. 9, comma 4 </w:t>
      </w:r>
      <w:proofErr w:type="spellStart"/>
      <w:r w:rsidR="00924AE5" w:rsidRPr="00F27508">
        <w:rPr>
          <w:rFonts w:ascii="Times New Roman" w:hAnsi="Times New Roman" w:cs="Times New Roman"/>
          <w:color w:val="000000"/>
          <w:sz w:val="24"/>
          <w:szCs w:val="24"/>
        </w:rPr>
        <w:t>delD.L</w:t>
      </w:r>
      <w:proofErr w:type="spellEnd"/>
      <w:r w:rsidR="00924AE5" w:rsidRPr="00F27508">
        <w:rPr>
          <w:rFonts w:ascii="Times New Roman" w:hAnsi="Times New Roman" w:cs="Times New Roman"/>
          <w:color w:val="000000"/>
          <w:sz w:val="24"/>
          <w:szCs w:val="24"/>
        </w:rPr>
        <w:t>. n. 66/2014 convertito in legge n. 89/2014 e per come integrato nei profili applicativi dall’art. 23 ter del</w:t>
      </w:r>
      <w:r w:rsidR="00924A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24AE5" w:rsidRPr="00F27508">
        <w:rPr>
          <w:rFonts w:ascii="Times New Roman" w:hAnsi="Times New Roman" w:cs="Times New Roman"/>
          <w:color w:val="000000"/>
          <w:sz w:val="24"/>
          <w:szCs w:val="24"/>
        </w:rPr>
        <w:t>D.L. n. 90/2014 convertito in legge n. 114/201</w:t>
      </w:r>
      <w:r w:rsidR="00F27508"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 stabilisce che: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a) i Comuni non capoluogo di provincia procedono all’acquisizione di lavori, servizi e forniture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nell’ambito di unioni di comuni, di cui all’articolo 32 del </w:t>
      </w:r>
      <w:proofErr w:type="spellStart"/>
      <w:r w:rsidRPr="00F27508">
        <w:rPr>
          <w:rFonts w:ascii="Times New Roman" w:hAnsi="Times New Roman" w:cs="Times New Roman"/>
          <w:color w:val="000000"/>
          <w:sz w:val="24"/>
          <w:szCs w:val="24"/>
        </w:rPr>
        <w:t>D.Lgs.</w:t>
      </w:r>
      <w:proofErr w:type="spellEnd"/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 18 agosto 2000 n. </w:t>
      </w:r>
      <w:proofErr w:type="gramStart"/>
      <w:r w:rsidRPr="00F27508">
        <w:rPr>
          <w:rFonts w:ascii="Times New Roman" w:hAnsi="Times New Roman" w:cs="Times New Roman"/>
          <w:color w:val="000000"/>
          <w:sz w:val="24"/>
          <w:szCs w:val="24"/>
        </w:rPr>
        <w:t>267,ove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esistenti, ovvero costituendo un apposito accordo consortile tra i comuni medesimi e avvalendosi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dei competenti uffici anche delle province, ovvero ricorrendo ad un soggetto aggregatore o alle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province, ai sensi della legge 7 aprile 2014 n. 56;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b) in alternativa, gli stessi comuni possono acquisire beni e servizi attraverso gli strumenti elettronici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di acquisto gestiti da </w:t>
      </w:r>
      <w:proofErr w:type="spellStart"/>
      <w:r w:rsidRPr="00F27508">
        <w:rPr>
          <w:rFonts w:ascii="Times New Roman" w:hAnsi="Times New Roman" w:cs="Times New Roman"/>
          <w:color w:val="000000"/>
          <w:sz w:val="24"/>
          <w:szCs w:val="24"/>
        </w:rPr>
        <w:t>Consip</w:t>
      </w:r>
      <w:proofErr w:type="spellEnd"/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 S.p.A. o da altro soggetto aggregatore di riferimento;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- che numerose interpretazioni hanno evidenziato come il termine “Accordo consortile” riportato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nell’articolo 33, comma 3-bis del </w:t>
      </w:r>
      <w:proofErr w:type="spellStart"/>
      <w:r w:rsidRPr="00F27508">
        <w:rPr>
          <w:rFonts w:ascii="Times New Roman" w:hAnsi="Times New Roman" w:cs="Times New Roman"/>
          <w:color w:val="000000"/>
          <w:sz w:val="24"/>
          <w:szCs w:val="24"/>
        </w:rPr>
        <w:t>D.Lgs.</w:t>
      </w:r>
      <w:proofErr w:type="spellEnd"/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 n. 163/2006 costituisca una espressione a tecnica, con la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quale il legislatore ha inteso genericamente riferirsi alle convenzioni definibili in base all’art. 30 del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27508">
        <w:rPr>
          <w:rFonts w:ascii="Times New Roman" w:hAnsi="Times New Roman" w:cs="Times New Roman"/>
          <w:color w:val="000000"/>
          <w:sz w:val="24"/>
          <w:szCs w:val="24"/>
        </w:rPr>
        <w:t>D.Lgs.</w:t>
      </w:r>
      <w:proofErr w:type="spellEnd"/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 n. 267/2000, come strumento alternativo all’unione dei comuni;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- che la norma dispone infatti che, in caso di stipulazione dell’accordo consortile, ci si debba avvalere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dei “competenti uffici”, con ciò sottintendendo la volontà di non dare vita ad un organismo autonomo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rispetto agli enti stipulanti;</w:t>
      </w:r>
      <w:bookmarkStart w:id="0" w:name="_GoBack"/>
      <w:bookmarkEnd w:id="0"/>
    </w:p>
    <w:p w:rsid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27508" w:rsidRPr="00F27508" w:rsidRDefault="00F27508" w:rsidP="009E01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Art. 2</w:t>
      </w:r>
    </w:p>
    <w:p w:rsidR="009E01AC" w:rsidRDefault="00F27508" w:rsidP="009E01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UFFICIO COMUNE OPERANTE COME CENTRALE UNICA DI COMMITTENZA </w:t>
      </w:r>
    </w:p>
    <w:p w:rsidR="00F27508" w:rsidRDefault="00F27508" w:rsidP="009E01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PER I</w:t>
      </w:r>
      <w:r w:rsidR="00924AE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COMUNI </w:t>
      </w:r>
      <w:r w:rsidR="00924AE5">
        <w:rPr>
          <w:rFonts w:ascii="Times New Roman" w:hAnsi="Times New Roman" w:cs="Times New Roman"/>
          <w:b/>
          <w:bCs/>
          <w:color w:val="000000"/>
          <w:sz w:val="24"/>
          <w:szCs w:val="24"/>
        </w:rPr>
        <w:t>DELL’UNIONE</w:t>
      </w:r>
    </w:p>
    <w:p w:rsidR="009E01AC" w:rsidRPr="00F27508" w:rsidRDefault="009E01AC" w:rsidP="009E01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27508" w:rsidRPr="00F27508" w:rsidRDefault="00924AE5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 E’ istituito presso L’Unione Collinare della Serra con sede in Bollengo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l’</w:t>
      </w:r>
      <w:r w:rsidR="00F27508"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 Ufficio</w:t>
      </w:r>
      <w:proofErr w:type="gramEnd"/>
      <w:r w:rsidR="00F27508"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 comune come struttura organizzativa operante quale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27508" w:rsidRPr="00F27508">
        <w:rPr>
          <w:rFonts w:ascii="Times New Roman" w:hAnsi="Times New Roman" w:cs="Times New Roman"/>
          <w:color w:val="000000"/>
          <w:sz w:val="24"/>
          <w:szCs w:val="24"/>
        </w:rPr>
        <w:t>Centrale unica di committenza per la gestione in forma associata delle acquisizioni di lavori, servizi e beni, in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27508" w:rsidRPr="00F27508">
        <w:rPr>
          <w:rFonts w:ascii="Times New Roman" w:hAnsi="Times New Roman" w:cs="Times New Roman"/>
          <w:color w:val="000000"/>
          <w:sz w:val="24"/>
          <w:szCs w:val="24"/>
        </w:rPr>
        <w:t>relazione a quanto previsto dall’art. 33, comma 3-bis del d.lgs. n. 163/2006.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2. I Comuni associati sono tenuti ad avvalersi dell’Ufficio comune operante come Centrale unica di committenza</w:t>
      </w:r>
      <w:r w:rsidR="00924A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per le acquisizioni di lavori, servizi e beni nei termini, alle condizioni e secondo i processi operativi specificati</w:t>
      </w:r>
      <w:r w:rsidR="00924AE5">
        <w:rPr>
          <w:rFonts w:ascii="Times New Roman" w:hAnsi="Times New Roman" w:cs="Times New Roman"/>
          <w:color w:val="000000"/>
          <w:sz w:val="24"/>
          <w:szCs w:val="24"/>
        </w:rPr>
        <w:t xml:space="preserve"> dal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 presente </w:t>
      </w:r>
      <w:r w:rsidR="00924AE5">
        <w:rPr>
          <w:rFonts w:ascii="Times New Roman" w:hAnsi="Times New Roman" w:cs="Times New Roman"/>
          <w:color w:val="000000"/>
          <w:sz w:val="24"/>
          <w:szCs w:val="24"/>
        </w:rPr>
        <w:t>regolamento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3. I singoli Comuni associati possono svolgere autonomamente le procedure di acquisizione di lavori, servizi e</w:t>
      </w:r>
      <w:r w:rsidR="00924A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forniture nei termini previsti dall’art. 33, comma 3-bis del d.lgs. n. 163/2006 e dall’art. 23-ter del </w:t>
      </w:r>
      <w:proofErr w:type="spellStart"/>
      <w:r w:rsidRPr="00F27508">
        <w:rPr>
          <w:rFonts w:ascii="Times New Roman" w:hAnsi="Times New Roman" w:cs="Times New Roman"/>
          <w:color w:val="000000"/>
          <w:sz w:val="24"/>
          <w:szCs w:val="24"/>
        </w:rPr>
        <w:t>d.l.</w:t>
      </w:r>
      <w:proofErr w:type="spellEnd"/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 n. 90/2014</w:t>
      </w:r>
      <w:r w:rsidR="00924A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27508">
        <w:rPr>
          <w:rFonts w:ascii="Times New Roman" w:hAnsi="Times New Roman" w:cs="Times New Roman"/>
          <w:color w:val="000000"/>
          <w:sz w:val="24"/>
          <w:szCs w:val="24"/>
        </w:rPr>
        <w:t>conv</w:t>
      </w:r>
      <w:proofErr w:type="spellEnd"/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gramStart"/>
      <w:r w:rsidRPr="00F27508">
        <w:rPr>
          <w:rFonts w:ascii="Times New Roman" w:hAnsi="Times New Roman" w:cs="Times New Roman"/>
          <w:color w:val="000000"/>
          <w:sz w:val="24"/>
          <w:szCs w:val="24"/>
        </w:rPr>
        <w:t>in</w:t>
      </w:r>
      <w:proofErr w:type="gramEnd"/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 l. n. 114/2014, secondo le modalità specifiche di rapporto con la Centrale unica di committenza indicate</w:t>
      </w:r>
      <w:r w:rsidR="00924A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nel</w:t>
      </w:r>
      <w:r w:rsidR="00924AE5">
        <w:rPr>
          <w:rFonts w:ascii="Times New Roman" w:hAnsi="Times New Roman" w:cs="Times New Roman"/>
          <w:color w:val="000000"/>
          <w:sz w:val="24"/>
          <w:szCs w:val="24"/>
        </w:rPr>
        <w:t xml:space="preserve"> pr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esente </w:t>
      </w:r>
      <w:r w:rsidR="00924AE5">
        <w:rPr>
          <w:rFonts w:ascii="Times New Roman" w:hAnsi="Times New Roman" w:cs="Times New Roman"/>
          <w:color w:val="000000"/>
          <w:sz w:val="24"/>
          <w:szCs w:val="24"/>
        </w:rPr>
        <w:t>regolamento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4. L’Ufficio comune organizzato 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dall’Unione Collinare </w:t>
      </w:r>
      <w:r w:rsidRPr="00AF314D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quale </w:t>
      </w:r>
      <w:r w:rsidR="00AF314D" w:rsidRPr="00AF314D">
        <w:rPr>
          <w:rFonts w:ascii="Times New Roman" w:hAnsi="Times New Roman" w:cs="Times New Roman"/>
          <w:strike/>
          <w:color w:val="000000"/>
          <w:sz w:val="24"/>
          <w:szCs w:val="24"/>
        </w:rPr>
        <w:t>ente</w:t>
      </w:r>
      <w:r w:rsidRPr="00AF314D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capofila della Centrale unica di</w:t>
      </w:r>
      <w:r w:rsidR="00AF314D" w:rsidRPr="00AF314D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AF314D">
        <w:rPr>
          <w:rFonts w:ascii="Times New Roman" w:hAnsi="Times New Roman" w:cs="Times New Roman"/>
          <w:strike/>
          <w:color w:val="000000"/>
          <w:sz w:val="24"/>
          <w:szCs w:val="24"/>
        </w:rPr>
        <w:t>committenza non ha soggettività giuridica e, pertanto,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utilizza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tutti gli elementi identificativi dei comuni facenti parte la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CUC </w:t>
      </w:r>
      <w:r w:rsidRPr="00AF314D">
        <w:rPr>
          <w:rFonts w:ascii="Times New Roman" w:hAnsi="Times New Roman" w:cs="Times New Roman"/>
          <w:strike/>
          <w:color w:val="000000"/>
          <w:sz w:val="24"/>
          <w:szCs w:val="24"/>
        </w:rPr>
        <w:t>sono utilizzati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 nelle procedure svolte dalla Centrale unica di committenza, con particolare riguardo: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a) ai riferimenti per comunicazioni e contatti utili agli operatori economici;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b) ai riferimenti per accessi, sopralluoghi e notifiche;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c) ai riferimenti fiscali;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d) ai riferimenti del Comune in ordine alla sua iscrizione all’Anagrafe Unica delle Stazioni Appaltanti (AUSA)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presso l’Autorità Nazionale Anticorruzione (A.N.A.C.) ed al soggetto operante come Responsabile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dell’Anagrafe Unica per la Stazione Appaltante (RASA).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5. I singoli Comuni associati sono ad ogni effetti stazioni appaltanti e mantengono tale definizione, con i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conseguenti obblighi di iscrizione e comunicativi all’Anagrafe Unica delle Stazioni Appaltanti (AUSA).</w:t>
      </w:r>
    </w:p>
    <w:p w:rsidR="00F27508" w:rsidRPr="00F27508" w:rsidRDefault="00F27508" w:rsidP="00AF31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ART. 3</w:t>
      </w:r>
    </w:p>
    <w:p w:rsidR="00F27508" w:rsidRPr="00F27508" w:rsidRDefault="00F27508" w:rsidP="00AF31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COMPETENZE DELLA CENTRALE DI COMMITTENZA</w:t>
      </w:r>
    </w:p>
    <w:p w:rsidR="00AF314D" w:rsidRDefault="00AF314D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>L’Unione Collinare della Serra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, cura la gestione delle seguenti procedure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di gara per gli enti associati: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a. procedure di acquisizione di servizi e forniture mediante cd. “</w:t>
      </w:r>
      <w:proofErr w:type="gramStart"/>
      <w:r w:rsidRPr="00F27508">
        <w:rPr>
          <w:rFonts w:ascii="Times New Roman" w:hAnsi="Times New Roman" w:cs="Times New Roman"/>
          <w:color w:val="000000"/>
          <w:sz w:val="24"/>
          <w:szCs w:val="24"/>
        </w:rPr>
        <w:t>procedura</w:t>
      </w:r>
      <w:proofErr w:type="gramEnd"/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 aperta, ristretta o negoziata”, fatta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eccezione per le acquisizioni di beni e servizi attraverso gli strumenti elettronici di acquisto gestiti da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27508">
        <w:rPr>
          <w:rFonts w:ascii="Times New Roman" w:hAnsi="Times New Roman" w:cs="Times New Roman"/>
          <w:color w:val="000000"/>
          <w:sz w:val="24"/>
          <w:szCs w:val="24"/>
        </w:rPr>
        <w:t>Consip</w:t>
      </w:r>
      <w:proofErr w:type="spellEnd"/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 Spa o da altro soggetto aggregatore di riferimento.</w:t>
      </w:r>
    </w:p>
    <w:p w:rsid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b. tutte le procedure di acquisizione di lavori mediante cd. “</w:t>
      </w:r>
      <w:proofErr w:type="gramStart"/>
      <w:r w:rsidRPr="00F27508">
        <w:rPr>
          <w:rFonts w:ascii="Times New Roman" w:hAnsi="Times New Roman" w:cs="Times New Roman"/>
          <w:color w:val="000000"/>
          <w:sz w:val="24"/>
          <w:szCs w:val="24"/>
        </w:rPr>
        <w:t>procedura</w:t>
      </w:r>
      <w:proofErr w:type="gramEnd"/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 aperta , ristretta o negoziata”;</w:t>
      </w:r>
    </w:p>
    <w:p w:rsidR="00AF314D" w:rsidRPr="00F27508" w:rsidRDefault="00AF314D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2. In particolare, sono di competenza della Centrale di Committenza: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a) la redazione degli atti di gara, ivi incluso il bando di gara, il disciplinare di gara e la lettera di invito, sulla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scorta delle indicazioni fornite con la determina a contrarre, adottata dal Responsabile del servizio dell’ente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convenzionato;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b) gli adempimenti relativi allo svolgimento della procedura di gara in tutte le sue fasi, ivi compresi gli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obblighi di pubblicità, e la verifica del possesso dei requisiti di ordine generale e di capacità economico</w:t>
      </w:r>
      <w:r w:rsidR="009E01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finanziaria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e tecnico-organizzativa;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c) la nomina della commissione giudicatrice, ove previsto;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d) l’aggiudicazione provvisoria e definitiva della gara e l’adozione degli atti a tal fine necessari;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e) la trasmissione al comune interessato delle risultanze della gara e tutta la documentazione necessaria per gli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adempimenti conseguenti.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f) la gestione di eventuali contenziosi insorti in relazione alla procedura di affidamento, ivi compreso la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predisposizione di atti e relazioni riportanti elementi tecnico-giuridici rilevanti per la difesa in giudizio;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g) la cura di ogni ulteriore attività utile per il perseguimento dell’obiettivo di rendere più penetrante l'attività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di prevenzione e contrasto ai tentativi di condizionamento della criminalità mafiosa, favorendo al contempo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la celerità delle procedure, l'ottimizzazione delle risorse e il rispetto della normativa in materia di sicurezza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sul lavoro.</w:t>
      </w:r>
    </w:p>
    <w:p w:rsidR="00AF314D" w:rsidRDefault="00AF314D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27508" w:rsidRPr="00F27508" w:rsidRDefault="00F27508" w:rsidP="00AF31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Art. 4</w:t>
      </w:r>
    </w:p>
    <w:p w:rsidR="00F27508" w:rsidRPr="00F27508" w:rsidRDefault="00F27508" w:rsidP="00AF31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Affidamenti per acquisizioni di lavori, di servizi e di forniture di beni di valore inferiore ad 40.000 Euro</w:t>
      </w:r>
      <w:r w:rsidR="00AF314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mediante procedure tradizionali</w:t>
      </w:r>
    </w:p>
    <w:p w:rsidR="00AF314D" w:rsidRDefault="00AF314D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. I singoli Comuni aderenti 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>all’Unione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, aventi popolazione inferiore a 10.000 abitanti, non possono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acquisire autonomamente beni, servizi e lavori di valore inferiore a 40.000 euro mediante svolgimento di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procedure tradizionali, da intendersi come procedure svolte al difuori dei mercati elettronici della pubblica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amministrazione o senza l’ausilio di piattaforme informatiche, in base a quanto previsto dall’art. 23-ter, comma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3 del </w:t>
      </w:r>
      <w:proofErr w:type="spellStart"/>
      <w:r w:rsidRPr="00F27508">
        <w:rPr>
          <w:rFonts w:ascii="Times New Roman" w:hAnsi="Times New Roman" w:cs="Times New Roman"/>
          <w:color w:val="000000"/>
          <w:sz w:val="24"/>
          <w:szCs w:val="24"/>
        </w:rPr>
        <w:t>d.l.</w:t>
      </w:r>
      <w:proofErr w:type="spellEnd"/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 n. 90/2014 </w:t>
      </w:r>
      <w:proofErr w:type="spellStart"/>
      <w:r w:rsidRPr="00F27508">
        <w:rPr>
          <w:rFonts w:ascii="Times New Roman" w:hAnsi="Times New Roman" w:cs="Times New Roman"/>
          <w:color w:val="000000"/>
          <w:sz w:val="24"/>
          <w:szCs w:val="24"/>
        </w:rPr>
        <w:t>conv</w:t>
      </w:r>
      <w:proofErr w:type="spellEnd"/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gramStart"/>
      <w:r w:rsidRPr="00F27508">
        <w:rPr>
          <w:rFonts w:ascii="Times New Roman" w:hAnsi="Times New Roman" w:cs="Times New Roman"/>
          <w:color w:val="000000"/>
          <w:sz w:val="24"/>
          <w:szCs w:val="24"/>
        </w:rPr>
        <w:t>in</w:t>
      </w:r>
      <w:proofErr w:type="gramEnd"/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 l. n. 114/2014.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2. I suddetti Comuni, per far fronte a fabbisogni relativi a servizi, forniture di beni o lavori di valore inferiore a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40.000 euro soddisfacibili mediante affidamenti con procedure tradizionali, operano attraverso la Centrale unica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di committenza.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3. Al fine di ottimizzare la soddisfazione dei fabbisogni di cui al precedente comma 2, le procedure tradizionali di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affidamento sono svolte a cura dell’Ufficio CUC facendo riferimento al Responsabile del procedimento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individuato come operante presso la Centrale unica di committenza dal Comune aderente 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>all’Unione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 che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necessita </w:t>
      </w:r>
      <w:proofErr w:type="gramStart"/>
      <w:r w:rsidRPr="00F27508">
        <w:rPr>
          <w:rFonts w:ascii="Times New Roman" w:hAnsi="Times New Roman" w:cs="Times New Roman"/>
          <w:color w:val="000000"/>
          <w:sz w:val="24"/>
          <w:szCs w:val="24"/>
        </w:rPr>
        <w:t>dell’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acquisto</w:t>
      </w:r>
      <w:proofErr w:type="gramEnd"/>
      <w:r w:rsidRPr="00F2750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4. Gli atti adottati dal Responsabile del procedimento individuato come operante presso la Centrale unica di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committenza in base al precedente comma 3 sono gestiti e registrati nel sistema informatico di gestione degli atti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della Centrale Unica di committenza. Nelle more di attivazione del sistema informatico, i suddetti atti saranno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trasmessi al Responsabile della CUC tramite posta elettronica certificata.</w:t>
      </w:r>
    </w:p>
    <w:p w:rsidR="00AF314D" w:rsidRDefault="00AF314D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27508" w:rsidRPr="00F27508" w:rsidRDefault="00F27508" w:rsidP="00AF31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Art. 5</w:t>
      </w:r>
    </w:p>
    <w:p w:rsidR="00F27508" w:rsidRPr="00F27508" w:rsidRDefault="00F27508" w:rsidP="00AF31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Servizi e Forniture aggregati</w:t>
      </w:r>
    </w:p>
    <w:p w:rsidR="00AF314D" w:rsidRDefault="00AF314D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1. La CUC svolge attività di Centrale di committenza qualora si ravveda la necessità di provvedere ad acquisire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beni e/o servizi analoghi a favore di più Enti. In tal caso la CUC provvede all’individuazione delle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forniture/servizi analoghi per i quali poter attivare un’unica procedura di acquisizione, ne propone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l’accorpamento agli Enti interessati e, con la formale autorizzazione degli stessi, provvede all’esperimento di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una specifica procedura di gara per individuare gli operatori economici ai quali gli Enti dovranno rivolgersi per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l’esecuzione della fornitura/servizio.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2. Per ciascuna gara, per la quale la CUC svolge il ruolo di Centrale di committenza, la stessa collabora: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- all’individuazione della fornitura/servizio complessiva, sulla base dei fabbisogni dei singoli Enti;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- all’individuazione del RUP della procedura di acquisizione;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F27508">
        <w:rPr>
          <w:rFonts w:ascii="Times New Roman" w:hAnsi="Times New Roman" w:cs="Times New Roman"/>
          <w:color w:val="000000"/>
          <w:sz w:val="24"/>
          <w:szCs w:val="24"/>
        </w:rPr>
        <w:t>e</w:t>
      </w:r>
      <w:proofErr w:type="gramEnd"/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 di seguito procede: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- alla verifica del Capitolato Speciale e dello Schema di contratto d’appalto all’uopo redatti dal gruppo tecnico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istituito per il caso e composto da rappresentanti degli Enti associati, con formulazione di eventuali correttivi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da apportare;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- alla predisposizione della documentazione di gara;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- all’eventuale valutazione, con gli Enti coinvolti, della documentazione di gara predisposta;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- all’espletamento della procedura di gara;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- alla verifica dei requisiti di partecipazione dichiarati in gara dall’aggiudicatario provvisorio della procedura;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- alla predisposizione della determinazione di aggiudicazione definitiva che dovrà essere sottoscritta dall’organo</w:t>
      </w:r>
      <w:r w:rsidR="00AF31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competente 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>dell’Unione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3. L’assunzione dell’impegno di spesa e la stipula del contratto restano in capo al singolo Comune.</w:t>
      </w:r>
    </w:p>
    <w:p w:rsidR="007B07B4" w:rsidRDefault="007B07B4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27508" w:rsidRPr="00F27508" w:rsidRDefault="00F27508" w:rsidP="007B07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Art. 6</w:t>
      </w:r>
    </w:p>
    <w:p w:rsidR="00F27508" w:rsidRPr="00F27508" w:rsidRDefault="00F27508" w:rsidP="007B07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Acquisizione di beni e servizi mediante spese economali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1. I singoli Comuni 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>aderenti all’Unione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 possono acquisire beni e servizi facendo ricorso alle spese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economali, intendendosi come tali le “minute spese” comportanti una relazione diretta tra l’ordinante e il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fornitore/prestatore di servizi che non è formalizzato da nessun documento contrattuale, ma solo dal documento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fiscale connesso all’acquisto (scontrino/ricevuta/fattura).</w:t>
      </w:r>
    </w:p>
    <w:p w:rsid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2. Si intendono tali spese quelle aventi le caratteristiche previste dalla determinazione AVCP n. 4/2011 p.to 8.</w:t>
      </w:r>
    </w:p>
    <w:p w:rsidR="007B07B4" w:rsidRPr="00F27508" w:rsidRDefault="007B07B4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27508" w:rsidRPr="00F27508" w:rsidRDefault="00F27508" w:rsidP="007B07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Art. 7</w:t>
      </w:r>
    </w:p>
    <w:p w:rsidR="00F27508" w:rsidRDefault="00F27508" w:rsidP="007B07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Criteri di devoluzione delle procedure d'appalto</w:t>
      </w:r>
    </w:p>
    <w:p w:rsidR="007B07B4" w:rsidRPr="00F27508" w:rsidRDefault="007B07B4" w:rsidP="007B07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1. Le attività e i compiti trasferiti alla Centrale di Committenza sono stabiliti dal singolo ente in sede di adozione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della determina a contrarre, sulla base delle proprie esigenze e indirizzi strategici.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L'affidamento alla Centrale di Committenza delle procedure di aggiudicazione dei contratti pubblici ha luogo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mediante trasmissione della determina a contrarre che contiene fra l'altro: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- la nomina diretta del Responsabile Unico del Procedimento o, in </w:t>
      </w:r>
      <w:proofErr w:type="gramStart"/>
      <w:r w:rsidRPr="00F27508">
        <w:rPr>
          <w:rFonts w:ascii="Times New Roman" w:hAnsi="Times New Roman" w:cs="Times New Roman"/>
          <w:color w:val="000000"/>
          <w:sz w:val="24"/>
          <w:szCs w:val="24"/>
        </w:rPr>
        <w:t>alternativa ,</w:t>
      </w:r>
      <w:proofErr w:type="gramEnd"/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 la delega alla Centrale Unica di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Committenza; in tal caso il RUP è individuato nel responsabile pro- tempore della Centrale di Committenza.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In ogni caso la figura del RUP e del Responsabile della Centrale di Committenza non possono coincidere.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Nel caso coincidessero il 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>Presidente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 del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>l’Unione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 provvederà alla nomina temporanea del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Responsabile della Centrale di Committenza per la specifica procedura.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- l'individuazione del piano e/o programma da cui risulta l'opera, il servizio e la fornitura da affidare e la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relativa copertura finanziaria;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lastRenderedPageBreak/>
        <w:t>- l'indicazione dei tempi entro cui la procedura deve essere eseguita, anche in relazione a comprovate esigenza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di speditezza derivanti dalla fruizione di finanziamenti;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- il sistema di individuazione dei soggetti offerenti;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- i criteri di selezione degli operatori economici e delle offerte;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- l'individuazione, nel caso del criterio dell'offerta economicamente più vantaggiosa, dei criteri di valutazione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ripartiti in sub criteri, con i relativi punteggi;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- gli allegati relativi al quadro economico ai documenti tecnico-progettuali utili all'appalto, al capitolato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speciale d'appalto, al P.S.C. (Piano di Sicurezza e di coordinamento) o al D.U.V.R.I(Documento Unico di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Valutazione dei Rischi Interferenziali), allo schema di contratto ed al regolamento dei contratti pubblici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dell'ente aderente;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2. La Centrale di committenza predispone tutti gli atti preparatori in maniera tale da garantire la conclusione del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procedimento di aggiudicazione entro tempi conformi alle esigenze rappresentate dagli enti aderenti.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Dopo l'avvenuta aggiudicazione definitiva, la Centrale di committenza consegna all'ente aderente tutti gli atti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relativi alla procedura di gara.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3. Compete in ogni caso all'Ente aderente: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- la nomina del RUP (Responsabile Unico del Procedimento) ex art. 10 </w:t>
      </w:r>
      <w:proofErr w:type="spellStart"/>
      <w:r w:rsidRPr="00F27508">
        <w:rPr>
          <w:rFonts w:ascii="Times New Roman" w:hAnsi="Times New Roman" w:cs="Times New Roman"/>
          <w:color w:val="000000"/>
          <w:sz w:val="24"/>
          <w:szCs w:val="24"/>
        </w:rPr>
        <w:t>D.Lgs</w:t>
      </w:r>
      <w:proofErr w:type="spellEnd"/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 n. 163/2006, salvo quanto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previsto dal precedente comma 1;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- le attività di individuazione delle opere da realizzare;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- la redazione e l’approvazione dei progetti e di tutti gli altri atti ed elaborati che ne costituiscono il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presupposto, ivi compresa l’attribuzione dei valori ponderali in caso di appalto da aggiudicare con il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criterio dell’offerta economicamente più vantaggiosa, da riportare nel capitolato speciale d’appalto;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- l’adozione della determina a contrarre;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- la stipula del contratto d’appalto;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- l’affidamento della direzione dei lavori e dell’eventuale collaudo in corso d’opera;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- tutti gli adempimenti connessi alla corretta esecuzione dei lavori ed ai pagamenti sulla base degli stati di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avanzamento lavori;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- il collaudo statico e tecnico-amministrativo delle opere;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- comunicazione e trasmissione all’Osservatorio dei contratti pubblici delle informazioni previste dall’art. 7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del D.L.gs n. 163/2006.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- adottare gli atti necessari alla Centrale di Committenza per lo svolgimento delle attribuzioni richieste;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- trasmettere il Codice Unico di Progetto (CUP), se previsto, e CIG;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- procedere al versamento, a proprie spese, del contributo per l'Autorità di vigilanza sui contratti pubblici di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lavori, servizi e forniture;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- redigere eventuali varianti in corso d’opera.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4. Tra l’adozione del provvedimento di aggiudicazione e la stipula del contratto, laddove emergesse la necessità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di intervenire sulla procedura di affidamento con eventuali att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>i di annullamento e/o rettifica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, la competenza è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della centrale di committenza.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5. Dopo l’avvenuta aggiudicazione definitiva, la centrale di committenza consegna all’ente aderente tutti gli atti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relativi alla procedura di gara per la successiva stipula del contratto.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6. Dopo la stipulazione del contratto tutti i rapporti intercorrenti tra ente convenzionato ed appaltatore sono di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competenza esclusiva dell’ente convenzionato rimanendovi la centrale di committenza estranea.</w:t>
      </w:r>
    </w:p>
    <w:p w:rsidR="007B07B4" w:rsidRDefault="007B07B4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27508" w:rsidRPr="00F27508" w:rsidRDefault="00F27508" w:rsidP="007B07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Art. 8</w:t>
      </w:r>
    </w:p>
    <w:p w:rsidR="00F27508" w:rsidRDefault="00F27508" w:rsidP="007B07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Struttura organizzativa</w:t>
      </w:r>
    </w:p>
    <w:p w:rsidR="007B07B4" w:rsidRPr="00F27508" w:rsidRDefault="007B07B4" w:rsidP="007B07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 xml:space="preserve">L’Unione Collinare della Serra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viene 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 xml:space="preserve">conferita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la funzione di centrale di committenza.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2. Il responsabile della centrale di committenza, al quale sono attribuite le funzioni di cui all’articolo 107 del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27508">
        <w:rPr>
          <w:rFonts w:ascii="Times New Roman" w:hAnsi="Times New Roman" w:cs="Times New Roman"/>
          <w:color w:val="000000"/>
          <w:sz w:val="24"/>
          <w:szCs w:val="24"/>
        </w:rPr>
        <w:t>D.Lgs.</w:t>
      </w:r>
      <w:proofErr w:type="spellEnd"/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 n. 267/2000, è nominato dal 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>Presidente dell’Unione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3. I singoli Comuni 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>aderenti all’Unione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 individuano tra i propri dipendenti gli operatori qualificati destinati a svolgere attività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nell’ambito della struttura organizzativa operante come Centrale unica di committenza in base a quanto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 xml:space="preserve"> previsto dal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 presente </w:t>
      </w:r>
      <w:r w:rsidR="007B07B4">
        <w:rPr>
          <w:rFonts w:ascii="Times New Roman" w:hAnsi="Times New Roman" w:cs="Times New Roman"/>
          <w:color w:val="000000"/>
          <w:sz w:val="24"/>
          <w:szCs w:val="24"/>
        </w:rPr>
        <w:t>regolamento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4. L’individuazione delle risorse umane di cui al precedente comma è effettuata dai singoli Comuni associati nel</w:t>
      </w:r>
      <w:r w:rsidR="007923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rispetto dei seguenti criteri: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a) tra i dipendenti da individuare sono inclusi: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a.1.) soggetti con qualificazione professionale adeguata per svolgere il ruolo di Responsabile del</w:t>
      </w:r>
      <w:r w:rsidR="007923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procedimento nelle procedure per acquisizioni di servizi e beni o di Responsabile unico del</w:t>
      </w:r>
      <w:r w:rsidR="007923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procedimento per acquisizioni di lavori;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a.2.) soggetti già operanti presso il singolo Comune associato come Responsabile del procedimento nelle</w:t>
      </w:r>
      <w:r w:rsidR="007923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procedure per acquisizioni di servizi e beni o Responsabile unico del procedimento per acquisizioni</w:t>
      </w:r>
      <w:r w:rsidR="007923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di lavori, a tal fine anche abilitati all’accesso dei sistemi informatici dell’Autorità Nazionale</w:t>
      </w:r>
      <w:r w:rsidR="007923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Anticorruzione (A.N.A.C.) per la gestione di una o più fasi delle procedure di acquisizione di lavori,</w:t>
      </w:r>
      <w:r w:rsidR="007923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servizi o beni;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a.3.) soggetti in grado di svolgere, per qualificazione professionale ed esperienza, ruoli specifici</w:t>
      </w:r>
      <w:r w:rsidR="007923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nell’ambito delle procedure di acquisizione di lavori, servizi e forniture, quali, in particolare: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a.3.1.) attività di assistenza al Responsabile del procedimento;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a.3.2.) attività di studio e supporto nell’elaborazione e nella predisposizione degli atti per le</w:t>
      </w:r>
      <w:r w:rsidR="007923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procedure di acquisizione;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>a.3.3.) attività quali esperti nell’ambito delle Commissioni giudicatrici nominate nelle procedure</w:t>
      </w:r>
      <w:r w:rsidR="007923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nelle quali sia utilizzato il criterio dell’offerta economicamente più vantaggiosa;</w:t>
      </w:r>
    </w:p>
    <w:p w:rsidR="00F27508" w:rsidRPr="00F27508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5. I singoli Comuni associati mettono a disposizione </w:t>
      </w:r>
      <w:r w:rsidR="00792335">
        <w:rPr>
          <w:rFonts w:ascii="Times New Roman" w:hAnsi="Times New Roman" w:cs="Times New Roman"/>
          <w:color w:val="000000"/>
          <w:sz w:val="24"/>
          <w:szCs w:val="24"/>
        </w:rPr>
        <w:t>dell’Unione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 xml:space="preserve"> operante come</w:t>
      </w:r>
      <w:r w:rsidR="007923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Centrale Unica di Committenza le risorse umane individuate in base al precedente comma 3, definiscono</w:t>
      </w:r>
      <w:r w:rsidR="007923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soluzioni coerenti con la normativa e le disposizioni contrattuali vigenti, al fine di consentire l’operatività di tali</w:t>
      </w:r>
      <w:r w:rsidR="007923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soggetti nell’ambito delle attività della struttura organizzativa operante come Centrale di Committenza anche in</w:t>
      </w:r>
      <w:r w:rsidR="0079233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7508">
        <w:rPr>
          <w:rFonts w:ascii="Times New Roman" w:hAnsi="Times New Roman" w:cs="Times New Roman"/>
          <w:color w:val="000000"/>
          <w:sz w:val="24"/>
          <w:szCs w:val="24"/>
        </w:rPr>
        <w:t>forma temporanea o per un numero limitato di ore.</w:t>
      </w:r>
    </w:p>
    <w:p w:rsidR="00792335" w:rsidRPr="00792335" w:rsidRDefault="00792335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</w:pPr>
    </w:p>
    <w:p w:rsidR="00F27508" w:rsidRPr="00792335" w:rsidRDefault="00F27508" w:rsidP="007923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</w:pPr>
      <w:r w:rsidRPr="00792335"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  <w:t>Art. 9</w:t>
      </w:r>
    </w:p>
    <w:p w:rsidR="00F27508" w:rsidRPr="00792335" w:rsidRDefault="00F27508" w:rsidP="007923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</w:pPr>
      <w:r w:rsidRPr="00792335"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  <w:t>Conferenza dei Sindaci</w:t>
      </w:r>
    </w:p>
    <w:p w:rsidR="00F27508" w:rsidRPr="00792335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trike/>
          <w:color w:val="000000"/>
          <w:sz w:val="24"/>
          <w:szCs w:val="24"/>
        </w:rPr>
      </w:pPr>
      <w:r w:rsidRPr="00792335">
        <w:rPr>
          <w:rFonts w:ascii="Times New Roman" w:hAnsi="Times New Roman" w:cs="Times New Roman"/>
          <w:strike/>
          <w:color w:val="000000"/>
          <w:sz w:val="24"/>
          <w:szCs w:val="24"/>
        </w:rPr>
        <w:t>1. La Conferenza dei Sindaci è l’organo di indirizzo e di governo per la realizzazione degli obiettivi e delle</w:t>
      </w:r>
      <w:r w:rsidR="00792335" w:rsidRPr="00792335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792335">
        <w:rPr>
          <w:rFonts w:ascii="Times New Roman" w:hAnsi="Times New Roman" w:cs="Times New Roman"/>
          <w:strike/>
          <w:color w:val="000000"/>
          <w:sz w:val="24"/>
          <w:szCs w:val="24"/>
        </w:rPr>
        <w:t>finalità della presente convenzione. E’ composta dai Sindaci dei Comuni aderenti o da loro delegati, in</w:t>
      </w:r>
      <w:r w:rsidR="00792335" w:rsidRPr="00792335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792335">
        <w:rPr>
          <w:rFonts w:ascii="Times New Roman" w:hAnsi="Times New Roman" w:cs="Times New Roman"/>
          <w:strike/>
          <w:color w:val="000000"/>
          <w:sz w:val="24"/>
          <w:szCs w:val="24"/>
        </w:rPr>
        <w:t>rappresentanza degli Enti convenzionati. E’ convocata e presieduta dal Sindaco di Lombardore o, in sua</w:t>
      </w:r>
      <w:r w:rsidR="00792335" w:rsidRPr="00792335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792335">
        <w:rPr>
          <w:rFonts w:ascii="Times New Roman" w:hAnsi="Times New Roman" w:cs="Times New Roman"/>
          <w:strike/>
          <w:color w:val="000000"/>
          <w:sz w:val="24"/>
          <w:szCs w:val="24"/>
        </w:rPr>
        <w:t>assenza, da un suo delegato.</w:t>
      </w:r>
    </w:p>
    <w:p w:rsidR="00F27508" w:rsidRPr="00792335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trike/>
          <w:color w:val="000000"/>
          <w:sz w:val="24"/>
          <w:szCs w:val="24"/>
        </w:rPr>
      </w:pPr>
      <w:r w:rsidRPr="00792335">
        <w:rPr>
          <w:rFonts w:ascii="Times New Roman" w:hAnsi="Times New Roman" w:cs="Times New Roman"/>
          <w:strike/>
          <w:color w:val="000000"/>
          <w:sz w:val="24"/>
          <w:szCs w:val="24"/>
        </w:rPr>
        <w:t>2. La stessa potrà essere convocata anche su richiesta di uno dei Sindaci dei Comuni Convenzionati.</w:t>
      </w:r>
    </w:p>
    <w:p w:rsidR="00F27508" w:rsidRPr="00792335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trike/>
          <w:color w:val="000000"/>
          <w:sz w:val="24"/>
          <w:szCs w:val="24"/>
        </w:rPr>
      </w:pPr>
      <w:r w:rsidRPr="00792335">
        <w:rPr>
          <w:rFonts w:ascii="Times New Roman" w:hAnsi="Times New Roman" w:cs="Times New Roman"/>
          <w:strike/>
          <w:color w:val="000000"/>
          <w:sz w:val="24"/>
          <w:szCs w:val="24"/>
        </w:rPr>
        <w:t>3. Le adunanze della conferenza sono valide se interviene almeno la metà dei suoi componenti; le deliberazioni</w:t>
      </w:r>
      <w:r w:rsidR="00792335" w:rsidRPr="00792335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792335">
        <w:rPr>
          <w:rFonts w:ascii="Times New Roman" w:hAnsi="Times New Roman" w:cs="Times New Roman"/>
          <w:strike/>
          <w:color w:val="000000"/>
          <w:sz w:val="24"/>
          <w:szCs w:val="24"/>
        </w:rPr>
        <w:t>sono adottate a maggioranza dei presenti. Funge da Segretario il Responsabile della Centrale di Committenza.</w:t>
      </w:r>
    </w:p>
    <w:p w:rsidR="00F27508" w:rsidRPr="00792335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trike/>
          <w:color w:val="000000"/>
          <w:sz w:val="24"/>
          <w:szCs w:val="24"/>
        </w:rPr>
      </w:pPr>
      <w:r w:rsidRPr="00792335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4. La Conferenza individua annualmente le modalità di rimborso degli oneri sostenuti dal Comune </w:t>
      </w:r>
      <w:proofErr w:type="spellStart"/>
      <w:r w:rsidRPr="00792335">
        <w:rPr>
          <w:rFonts w:ascii="Times New Roman" w:hAnsi="Times New Roman" w:cs="Times New Roman"/>
          <w:strike/>
          <w:color w:val="000000"/>
          <w:sz w:val="24"/>
          <w:szCs w:val="24"/>
        </w:rPr>
        <w:t>capoconvenzione</w:t>
      </w:r>
      <w:proofErr w:type="spellEnd"/>
      <w:r w:rsidR="00792335" w:rsidRPr="00792335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792335">
        <w:rPr>
          <w:rFonts w:ascii="Times New Roman" w:hAnsi="Times New Roman" w:cs="Times New Roman"/>
          <w:strike/>
          <w:color w:val="000000"/>
          <w:sz w:val="24"/>
          <w:szCs w:val="24"/>
        </w:rPr>
        <w:t>per il funzionamento della centrale di committenza</w:t>
      </w:r>
    </w:p>
    <w:p w:rsidR="00792335" w:rsidRDefault="00792335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27508" w:rsidRPr="00F27508" w:rsidRDefault="00F27508" w:rsidP="007923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Art. 10</w:t>
      </w:r>
    </w:p>
    <w:p w:rsidR="00F27508" w:rsidRDefault="00F27508" w:rsidP="007923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7508">
        <w:rPr>
          <w:rFonts w:ascii="Times New Roman" w:hAnsi="Times New Roman" w:cs="Times New Roman"/>
          <w:b/>
          <w:bCs/>
          <w:color w:val="000000"/>
          <w:sz w:val="24"/>
          <w:szCs w:val="24"/>
        </w:rPr>
        <w:t>Rapporti Finanziari</w:t>
      </w:r>
    </w:p>
    <w:p w:rsidR="00792335" w:rsidRPr="009E01AC" w:rsidRDefault="00792335" w:rsidP="0079233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</w:pPr>
    </w:p>
    <w:p w:rsidR="00F27508" w:rsidRPr="009E01AC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trike/>
          <w:color w:val="000000"/>
          <w:sz w:val="24"/>
          <w:szCs w:val="24"/>
        </w:rPr>
      </w:pP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1. Ciascun Comune aderente partecipa alla costituzione di un apposito fondo per finanziare le attività del servizio</w:t>
      </w:r>
      <w:r w:rsidR="00792335"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con una quota annuale il cui importo verrà definito dalla Conferenza dei Sindaci, a copertura delle spese dirette</w:t>
      </w:r>
      <w:r w:rsidR="00792335"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(manutenzione sistemi informatici, cancelleria, corsi, ecc.), e delle spese del personale.</w:t>
      </w:r>
    </w:p>
    <w:p w:rsidR="00F27508" w:rsidRPr="009E01AC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trike/>
          <w:color w:val="000000"/>
          <w:sz w:val="24"/>
          <w:szCs w:val="24"/>
        </w:rPr>
      </w:pP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Tali quote, così come i contributi di Enti pubblici e privati, dovranno confluire nelle casse del Comune</w:t>
      </w:r>
      <w:r w:rsidR="00792335"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capofila, su apposito e specifico capitolo di bilancio.</w:t>
      </w:r>
    </w:p>
    <w:p w:rsidR="00F27508" w:rsidRPr="009E01AC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trike/>
          <w:color w:val="000000"/>
          <w:sz w:val="24"/>
          <w:szCs w:val="24"/>
        </w:rPr>
      </w:pP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Parimenti le risorse destinate alle spese troveranno allocazione in appositi e specifici capitoli di bilancio del</w:t>
      </w:r>
      <w:r w:rsidR="00792335"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Comune capofila.</w:t>
      </w:r>
    </w:p>
    <w:p w:rsidR="00F27508" w:rsidRPr="009E01AC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trike/>
          <w:color w:val="000000"/>
          <w:sz w:val="24"/>
          <w:szCs w:val="24"/>
        </w:rPr>
      </w:pP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lastRenderedPageBreak/>
        <w:t>2. Compete al Comune capofila prevedere in sede di predisposizione del bilancio preventivo la spesa necessaria</w:t>
      </w:r>
      <w:r w:rsidR="00792335"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per la gestione associata del servizio, dandone comunicazione a ogni singolo Ente, previa approvazione da</w:t>
      </w:r>
      <w:r w:rsidR="00792335"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parte della Conferenza dei Sindaci, nonché effettuare con cadenza annuale la rendicontazione delle spese</w:t>
      </w:r>
      <w:r w:rsidR="00792335"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sostenute, informandone gli altri Comuni.</w:t>
      </w:r>
    </w:p>
    <w:p w:rsidR="00F27508" w:rsidRPr="009E01AC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trike/>
          <w:color w:val="000000"/>
          <w:sz w:val="24"/>
          <w:szCs w:val="24"/>
        </w:rPr>
      </w:pP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3. Il Comune capofila provvederà all’acquisizione dell’applicativo necessario alla gestione delle procedure</w:t>
      </w:r>
      <w:r w:rsidR="00792335"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amministrative della C.U.C. </w:t>
      </w:r>
      <w:proofErr w:type="gramStart"/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( gestione</w:t>
      </w:r>
      <w:proofErr w:type="gramEnd"/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determine</w:t>
      </w:r>
      <w:proofErr w:type="spellEnd"/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, buoni, collegamenti intranet) e le relative spese saranno</w:t>
      </w:r>
      <w:r w:rsidR="00792335"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suddivise tra i comuni facenti parte della Centrale di Committenza.</w:t>
      </w:r>
    </w:p>
    <w:p w:rsidR="009E01AC" w:rsidRDefault="009E01AC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27508" w:rsidRPr="009E01AC" w:rsidRDefault="00F27508" w:rsidP="009E01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</w:pPr>
      <w:r w:rsidRPr="009E01AC"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  <w:t>Art. 11</w:t>
      </w:r>
    </w:p>
    <w:p w:rsidR="00F27508" w:rsidRPr="009E01AC" w:rsidRDefault="00F27508" w:rsidP="009E01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</w:pPr>
      <w:r w:rsidRPr="009E01AC"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  <w:t>Definizione delle controversie</w:t>
      </w:r>
    </w:p>
    <w:p w:rsidR="009E01AC" w:rsidRPr="009E01AC" w:rsidRDefault="009E01AC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trike/>
          <w:color w:val="000000"/>
          <w:sz w:val="24"/>
          <w:szCs w:val="24"/>
        </w:rPr>
      </w:pPr>
    </w:p>
    <w:p w:rsidR="00F27508" w:rsidRPr="009E01AC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trike/>
          <w:color w:val="000000"/>
          <w:sz w:val="24"/>
          <w:szCs w:val="24"/>
        </w:rPr>
      </w:pP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1. La risoluzione di eventuali controversie derivanti dall’esecuzione della presente convenzione, è risolta</w:t>
      </w:r>
      <w:r w:rsidR="009E01AC"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prioritariamente in via bonaria.</w:t>
      </w:r>
    </w:p>
    <w:p w:rsidR="00F27508" w:rsidRPr="009E01AC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trike/>
          <w:color w:val="000000"/>
          <w:sz w:val="24"/>
          <w:szCs w:val="24"/>
        </w:rPr>
      </w:pP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2. Qualora i Comuni associati non riescano ad addivenire alla risoluzione in via bonaria, le </w:t>
      </w:r>
      <w:proofErr w:type="gramStart"/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controversie ,</w:t>
      </w:r>
      <w:proofErr w:type="gramEnd"/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sono</w:t>
      </w:r>
      <w:r w:rsidR="009E01AC"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devolute alla competenza del Foro di Ivrea. E’ escluso l’arbitrato.</w:t>
      </w:r>
    </w:p>
    <w:p w:rsidR="009E01AC" w:rsidRPr="009E01AC" w:rsidRDefault="009E01AC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</w:pPr>
    </w:p>
    <w:p w:rsidR="00F27508" w:rsidRPr="009E01AC" w:rsidRDefault="00F27508" w:rsidP="009E01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</w:pPr>
      <w:r w:rsidRPr="009E01AC"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  <w:t>Art. 12</w:t>
      </w:r>
    </w:p>
    <w:p w:rsidR="00F27508" w:rsidRPr="009E01AC" w:rsidRDefault="00F27508" w:rsidP="009E01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</w:pPr>
      <w:r w:rsidRPr="009E01AC"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  <w:t>Durata</w:t>
      </w:r>
    </w:p>
    <w:p w:rsidR="00F27508" w:rsidRPr="009E01AC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trike/>
          <w:color w:val="000000"/>
          <w:sz w:val="24"/>
          <w:szCs w:val="24"/>
        </w:rPr>
      </w:pP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1. La presente convenzione ha durata di anni tre a decorrere dalla data di sottoscrizione da parte dei sindaci dei</w:t>
      </w:r>
      <w:r w:rsidR="009E01AC"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comuni aderenti. Potrà essere rinnovata previo apposito atto deliberativo dei Comuni partecipanti.</w:t>
      </w:r>
    </w:p>
    <w:p w:rsidR="009E01AC" w:rsidRDefault="009E01AC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27508" w:rsidRPr="009E01AC" w:rsidRDefault="00F27508" w:rsidP="009E01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</w:pPr>
      <w:r w:rsidRPr="009E01AC"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  <w:t>Art.13</w:t>
      </w:r>
    </w:p>
    <w:p w:rsidR="00F27508" w:rsidRPr="009E01AC" w:rsidRDefault="00F27508" w:rsidP="009E01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</w:pPr>
      <w:r w:rsidRPr="009E01AC"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  <w:t>Recesso</w:t>
      </w:r>
    </w:p>
    <w:p w:rsidR="00F27508" w:rsidRPr="009E01AC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trike/>
          <w:color w:val="000000"/>
          <w:sz w:val="24"/>
          <w:szCs w:val="24"/>
        </w:rPr>
      </w:pP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1. E’ possibile recedere dalla presente convenzione, con adozione di specifico atto consiliare, qualora vengano</w:t>
      </w:r>
      <w:r w:rsidR="009E01AC"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meno i motivi che ne hanno determinato la costituzione e ne giustificano la sussistenza.</w:t>
      </w:r>
    </w:p>
    <w:p w:rsidR="00F27508" w:rsidRPr="009E01AC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trike/>
          <w:color w:val="000000"/>
          <w:sz w:val="24"/>
          <w:szCs w:val="24"/>
        </w:rPr>
      </w:pP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2. L’atto dovrà essere adottato e formalmente comunicato alla Conferenza dei Sindaci entro il 31 ottobre e</w:t>
      </w:r>
      <w:r w:rsidR="009E01AC"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produrrà i suoi effetti a decorrere dall’anno successivo, e in ogni caso solamente al termine dei procedimenti in</w:t>
      </w:r>
      <w:r w:rsidR="009E01AC"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corso.</w:t>
      </w:r>
    </w:p>
    <w:p w:rsidR="00F27508" w:rsidRPr="009E01AC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trike/>
          <w:color w:val="000000"/>
          <w:sz w:val="24"/>
          <w:szCs w:val="24"/>
        </w:rPr>
      </w:pP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3. L’Ente che recede rimane obbligato per gli impegni assunti relativamente all’anno in corso, oltre che per le</w:t>
      </w:r>
      <w:r w:rsidR="009E01AC"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obbligazioni aventi effetti permanenti.</w:t>
      </w:r>
    </w:p>
    <w:p w:rsidR="009E01AC" w:rsidRPr="009E01AC" w:rsidRDefault="009E01AC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</w:pPr>
    </w:p>
    <w:p w:rsidR="00F27508" w:rsidRPr="009E01AC" w:rsidRDefault="00F27508" w:rsidP="009E01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</w:pPr>
      <w:r w:rsidRPr="009E01AC"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  <w:t>Art. 14</w:t>
      </w:r>
    </w:p>
    <w:p w:rsidR="00F27508" w:rsidRPr="009E01AC" w:rsidRDefault="00F27508" w:rsidP="009E01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</w:pPr>
      <w:r w:rsidRPr="009E01AC"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  <w:t>Trattamento Dei Dati Personali</w:t>
      </w:r>
    </w:p>
    <w:p w:rsidR="00F27508" w:rsidRPr="009E01AC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trike/>
          <w:color w:val="000000"/>
          <w:sz w:val="24"/>
          <w:szCs w:val="24"/>
        </w:rPr>
      </w:pP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1. Tutti i dati personali sono utilizzati dagli enti convenzionati per soli fini istituzionali, assicurando la protezione</w:t>
      </w:r>
      <w:r w:rsidR="009E01AC"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e la riservatezza delle informazioni secondo la normativa vigente in materia. Ciascun firmatario autorizza il</w:t>
      </w:r>
      <w:r w:rsidR="009E01AC"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trattamento dei dati personali per le finalità del presente progetto.</w:t>
      </w:r>
    </w:p>
    <w:p w:rsidR="009E01AC" w:rsidRPr="009E01AC" w:rsidRDefault="009E01AC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</w:pPr>
    </w:p>
    <w:p w:rsidR="00F27508" w:rsidRPr="009E01AC" w:rsidRDefault="00F27508" w:rsidP="009E01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</w:pPr>
      <w:r w:rsidRPr="009E01AC"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  <w:t>Art. 15</w:t>
      </w:r>
    </w:p>
    <w:p w:rsidR="00F27508" w:rsidRPr="009E01AC" w:rsidRDefault="00F27508" w:rsidP="009E01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</w:pPr>
      <w:r w:rsidRPr="009E01AC"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  <w:t>Disposizioni Finali – Rinvio - Adeguamento Dinamico</w:t>
      </w:r>
    </w:p>
    <w:p w:rsidR="00F27508" w:rsidRPr="009E01AC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trike/>
          <w:color w:val="000000"/>
          <w:sz w:val="24"/>
          <w:szCs w:val="24"/>
        </w:rPr>
      </w:pP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1. Per quanto non espressamente previsto nella presente Convenzione si rimanda a specifiche intese di volta in</w:t>
      </w:r>
      <w:r w:rsidR="009E01AC"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volta raggiunte nella Conferenza dei Sindaci, con adozione se e in quanto necessari, degli eventuali atti da parte</w:t>
      </w:r>
      <w:r w:rsidR="009E01AC"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degli organi competenti. Trovano, altresì, applicazione le norme vigenti, le disposizioni di Legge in materia, le</w:t>
      </w:r>
      <w:r w:rsidR="009E01AC"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norme del Codice Civile, ovviamente in quanto compatibili con la fattispecie e le norme statutarie.</w:t>
      </w:r>
    </w:p>
    <w:p w:rsidR="00F27508" w:rsidRPr="009E01AC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trike/>
          <w:color w:val="000000"/>
          <w:sz w:val="24"/>
          <w:szCs w:val="24"/>
        </w:rPr>
      </w:pP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2. Le clausole della presente convenzione recanti riferimenti alle disposizioni del </w:t>
      </w:r>
      <w:proofErr w:type="spellStart"/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D.Lgs.</w:t>
      </w:r>
      <w:proofErr w:type="spellEnd"/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n. 163/2006 e del D.P.R.</w:t>
      </w:r>
      <w:r w:rsidR="009E01AC"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207/2010, nonché ai provvedimenti attuativi delle stesse e ad altre disposizioni di legge inerenti gli appalti ed i</w:t>
      </w:r>
      <w:r w:rsidR="009E01AC"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contratti pubblici, si considerano automaticamente adeguate alle eventuali disposizioni sopravvenute.</w:t>
      </w:r>
    </w:p>
    <w:p w:rsidR="00F27508" w:rsidRPr="009E01AC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trike/>
          <w:color w:val="000000"/>
          <w:sz w:val="24"/>
          <w:szCs w:val="24"/>
        </w:rPr>
      </w:pP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3. Qualora le disposizioni sopravvenienti di cui al comma 2 determinino elementi comportanti modifiche</w:t>
      </w:r>
      <w:r w:rsidR="009E01AC"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obbligatorie ai contenuti della presente convenzione, la Conferenza dei Sindaci provvederà </w:t>
      </w: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lastRenderedPageBreak/>
        <w:t>alla revisione delle</w:t>
      </w:r>
      <w:r w:rsidR="009E01AC"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clausole che dovessero risultare non più applicabili. Il verbale della Conferenza dei sindaci sarà ratificato dalle</w:t>
      </w:r>
      <w:r w:rsidR="009E01AC"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Giunte dei singoli Comuni</w:t>
      </w:r>
    </w:p>
    <w:p w:rsidR="009E01AC" w:rsidRPr="009E01AC" w:rsidRDefault="009E01AC" w:rsidP="009E01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</w:pPr>
    </w:p>
    <w:p w:rsidR="00F27508" w:rsidRPr="009E01AC" w:rsidRDefault="00F27508" w:rsidP="009E01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</w:pPr>
      <w:r w:rsidRPr="009E01AC"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  <w:t>Art. 16</w:t>
      </w:r>
    </w:p>
    <w:p w:rsidR="00F27508" w:rsidRPr="009E01AC" w:rsidRDefault="00F27508" w:rsidP="009E01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</w:pPr>
      <w:r w:rsidRPr="009E01AC">
        <w:rPr>
          <w:rFonts w:ascii="Times New Roman" w:hAnsi="Times New Roman" w:cs="Times New Roman"/>
          <w:b/>
          <w:bCs/>
          <w:strike/>
          <w:color w:val="000000"/>
          <w:sz w:val="24"/>
          <w:szCs w:val="24"/>
        </w:rPr>
        <w:t>Registrazione</w:t>
      </w:r>
    </w:p>
    <w:p w:rsidR="00F27508" w:rsidRPr="009E01AC" w:rsidRDefault="00F27508" w:rsidP="00F2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trike/>
          <w:color w:val="000000"/>
          <w:sz w:val="24"/>
          <w:szCs w:val="24"/>
        </w:rPr>
      </w:pP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1. La presente convenzione è soggetta a registrazione solo in caso d’uso, a norma delle disposizioni vigenti in</w:t>
      </w:r>
      <w:r w:rsidR="009E01AC"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materia di imposta di registro. Le eventuali spese di registrazione del presente atto, da registrarsi a tassa fissa a</w:t>
      </w:r>
      <w:r w:rsidR="009E01AC"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 xml:space="preserve"> </w:t>
      </w:r>
      <w:r w:rsidRPr="009E01AC">
        <w:rPr>
          <w:rFonts w:ascii="Times New Roman" w:hAnsi="Times New Roman" w:cs="Times New Roman"/>
          <w:strike/>
          <w:color w:val="000000"/>
          <w:sz w:val="24"/>
          <w:szCs w:val="24"/>
        </w:rPr>
        <w:t>norma del D.P.R. n. 131 del 26.04.1986, sono da ripartirsi in parti uguali fra gli Enti contraenti.</w:t>
      </w:r>
    </w:p>
    <w:sectPr w:rsidR="00F27508" w:rsidRPr="009E01A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508"/>
    <w:rsid w:val="00792335"/>
    <w:rsid w:val="007A6385"/>
    <w:rsid w:val="007B07B4"/>
    <w:rsid w:val="007C5FE2"/>
    <w:rsid w:val="00924AE5"/>
    <w:rsid w:val="009E01AC"/>
    <w:rsid w:val="00AF314D"/>
    <w:rsid w:val="00F27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EE1F86-92DF-4030-8B0A-3D2EFBFF8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F27508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F2750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8</Pages>
  <Words>3276</Words>
  <Characters>18675</Characters>
  <Application>Microsoft Office Word</Application>
  <DocSecurity>0</DocSecurity>
  <Lines>155</Lines>
  <Paragraphs>43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Ragioneria</dc:creator>
  <cp:keywords/>
  <dc:description/>
  <cp:lastModifiedBy>Ragioneria</cp:lastModifiedBy>
  <cp:revision>1</cp:revision>
  <cp:lastPrinted>2015-11-12T10:36:00Z</cp:lastPrinted>
  <dcterms:created xsi:type="dcterms:W3CDTF">2015-11-12T09:03:00Z</dcterms:created>
  <dcterms:modified xsi:type="dcterms:W3CDTF">2015-11-12T10:45:00Z</dcterms:modified>
</cp:coreProperties>
</file>